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1255311</wp:posOffset>
            </wp:positionH>
            <wp:positionV relativeFrom="page">
              <wp:posOffset>227393</wp:posOffset>
            </wp:positionV>
            <wp:extent cx="3156117" cy="11098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otia-Logo-Black-A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117" cy="1109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both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OTOPLASTY POST-OP INSTRUCTIONS </w:t>
      </w:r>
    </w:p>
    <w:p>
      <w:pPr>
        <w:pStyle w:val="Body"/>
        <w:jc w:val="both"/>
        <w:rPr>
          <w:sz w:val="20"/>
          <w:szCs w:val="20"/>
        </w:rPr>
      </w:pPr>
    </w:p>
    <w:p>
      <w:pPr>
        <w:pStyle w:val="Body"/>
        <w:jc w:val="both"/>
      </w:pPr>
      <w:r>
        <w:rPr>
          <w:rtl w:val="0"/>
          <w:lang w:val="en-US"/>
        </w:rPr>
        <w:t xml:space="preserve">Keep the dressing in place for one week. It will be removed during your first clinic visit.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Sleep in an upright position the first two days after surgery to reduce swelling.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Take the narcotic pain medication as directed. </w:t>
      </w:r>
      <w:r>
        <w:rPr>
          <w:rtl w:val="0"/>
          <w:lang w:val="en-US"/>
        </w:rPr>
        <w:t xml:space="preserve">While taking narcotics,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ake</w:t>
      </w:r>
      <w:r>
        <w:rPr>
          <w:rtl w:val="0"/>
          <w:lang w:val="en-US"/>
        </w:rPr>
        <w:t xml:space="preserve"> </w:t>
      </w:r>
      <w:r>
        <w:rPr>
          <w:rtl w:val="0"/>
        </w:rPr>
        <w:t>100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mg of Colace by the mouth twice a day starting the night of surgery to prevent constipation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This is an over the counter drug. Stop taking Colace for loose stools. You may take Milk of Magnesia, Miralax, Senna, or your laxative of choice as needed</w:t>
      </w:r>
      <w:r>
        <w:rPr>
          <w:rtl w:val="0"/>
          <w:lang w:val="en-US"/>
        </w:rPr>
        <w:t xml:space="preserve"> for constipation</w:t>
      </w:r>
      <w:r>
        <w:rPr>
          <w:rtl w:val="0"/>
          <w:lang w:val="en-US"/>
        </w:rPr>
        <w:t>. Drink plenty of water.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>Do not drive while using narcotic pain medicines.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Avoid aspirin or ibuprofen containing products during the first week after surgery.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>Do not use tobacco products.</w:t>
        <w:tab/>
        <w:tab/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>Complete your antibiotic as directed.</w:t>
        <w:tab/>
        <w:tab/>
        <w:tab/>
        <w:tab/>
        <w:t xml:space="preserve">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Do not perform any vigorous activity or heavy lifting for two weeks. Walking is encouraged.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You will have some swelling and bruising of your ears and surrounding tissues. This is normal. A firm feeling or tingling of the outer ear is normal as the sensory nerves heal. </w:t>
      </w:r>
      <w:r>
        <w:rPr>
          <w:b w:val="1"/>
          <w:bCs w:val="1"/>
          <w:rtl w:val="0"/>
          <w:lang w:val="en-US"/>
        </w:rPr>
        <w:t>If the skin becomes red and hot to the touch, contact our office immediately.</w:t>
      </w: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CALL THE OFFICE AT 214-823-9652 IMMEDIATELY FOR THE FOLLOWING:</w:t>
      </w:r>
      <w:r>
        <w:rPr>
          <w:b w:val="1"/>
          <w:bCs w:val="1"/>
          <w:rtl w:val="0"/>
        </w:rPr>
        <w:t xml:space="preserve"> </w:t>
      </w: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jc w:val="both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YOU HAVE A FEVER OVER 101.5 DEGREES. 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EXCESSIVE BLEEDING OR FLUID SEEPING THROUGH THE DRESSINGS.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YOU HAVE UNUSUALLY SEVERE PAIN THAT IS NOT CONTROLLED WITH NARCOTICS.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A SEVERELY MISSHAPEN APPEARANCE, SUCH AS EXCESSIVE BRUISING OR FLUID RETENTION THAT IS LOCALIZED TO ONE SIDE OF THE FACE.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YOU EXPERIENCE SHORTNESS OF BREATH OR SWELLING IN ONE LEG - CALL 911 IF THIS IS A TRUE EMERGENCY.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