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1387391</wp:posOffset>
            </wp:positionH>
            <wp:positionV relativeFrom="page">
              <wp:posOffset>279400</wp:posOffset>
            </wp:positionV>
            <wp:extent cx="3156117" cy="11098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otia-Logo-Black-AI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117" cy="11098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CELLFINA POST TREATMENT INSTRUCTIONS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tl w:val="0"/>
          <w:lang w:val="en-US"/>
        </w:rPr>
        <w:t>You may remove your dressing and shower 24 hours after the procedure.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You may take Tylenol (acetaminophen) for discomfort. Tramadol will be prescribed if your pain is not controlled with Tylenol.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Wear a compression garment for two weeks.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Limit your physical activity for two weeks. Light physical activity is encouraged. Extreme physical activity may cause additional swelling and development of a fluid collection.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Arnica can be used to help decrease bruising and swelling.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Moisturize your skin after scabs have developed.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The following are normal experiences that can occur following treatment:  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Tenderness 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Bruising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Tingling sensation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Scabs over the incisions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CALL THE PRACTICE AT 214-823-9652 FOR THE FOLLOWING: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Redness and pain around the incision site(s)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Thick fluid expressed from the incision site(s)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>Development of a fluid pocket underneath an incision site</w:t>
      </w:r>
    </w:p>
    <w:p>
      <w:pPr>
        <w:pStyle w:val="Body"/>
        <w:numPr>
          <w:ilvl w:val="1"/>
          <w:numId w:val="2"/>
        </w:numPr>
        <w:jc w:val="left"/>
        <w:rPr>
          <w:lang w:val="en-US"/>
        </w:rPr>
      </w:pPr>
      <w:r>
        <w:rPr>
          <w:rtl w:val="0"/>
          <w:lang w:val="en-US"/>
        </w:rPr>
        <w:t xml:space="preserve">Temperature greater than 101.5 degrees 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ind w:left="720"/>
        <w:jc w:val="left"/>
        <w:rPr>
          <w:b w:val="1"/>
          <w:bCs w:val="1"/>
        </w:rPr>
      </w:pPr>
    </w:p>
    <w:p>
      <w:pPr>
        <w:pStyle w:val="Body"/>
        <w:ind w:left="1440"/>
        <w:jc w:val="left"/>
      </w:pPr>
      <w:r/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4.0pt;height:90.0pt;">
        <v:imagedata r:id="rId1" o:title="Hardcover_bullet_black.png"/>
      </v:shape>
    </w:pict>
  </w:numPicBullet>
  <w:abstractNum w:abstractNumId="0">
    <w:multiLevelType w:val="hybridMultilevel"/>
    <w:numStyleLink w:val="Image"/>
  </w:abstractNum>
  <w:abstractNum w:abstractNumId="1">
    <w:multiLevelType w:val="hybridMultilevel"/>
    <w:styleLink w:val="Image"/>
    <w:lvl w:ilvl="0">
      <w:start w:val="1"/>
      <w:numFmt w:val="bullet"/>
      <w:suff w:val="tab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age">
    <w:name w:val="Imag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