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b w:val="0"/>
          <w:bCs w:val="0"/>
        </w:rPr>
      </w:pPr>
      <w:r>
        <w:rPr>
          <w:b w:val="1"/>
          <w:bCs w:val="1"/>
        </w:rPr>
        <w:drawing>
          <wp:anchor distT="152400" distB="152400" distL="152400" distR="152400" simplePos="0" relativeHeight="251659264" behindDoc="0" locked="0" layoutInCell="1" allowOverlap="1">
            <wp:simplePos x="0" y="0"/>
            <wp:positionH relativeFrom="margin">
              <wp:posOffset>1927894</wp:posOffset>
            </wp:positionH>
            <wp:positionV relativeFrom="page">
              <wp:posOffset>549542</wp:posOffset>
            </wp:positionV>
            <wp:extent cx="2075110" cy="72971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075110" cy="729716"/>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rPr>
          <w:b w:val="1"/>
          <w:bCs w:val="1"/>
        </w:rPr>
      </w:pPr>
      <w:r>
        <w:rPr>
          <w:b w:val="1"/>
          <w:bCs w:val="1"/>
          <w:rtl w:val="0"/>
          <w:lang w:val="en-US"/>
        </w:rPr>
        <w:t>POST TREATMENT INSTRUCTIONS:  BOTOX</w:t>
      </w:r>
    </w:p>
    <w:p>
      <w:pPr>
        <w:pStyle w:val="Body"/>
        <w:bidi w:val="0"/>
      </w:pPr>
    </w:p>
    <w:p>
      <w:pPr>
        <w:pStyle w:val="Body"/>
        <w:rPr>
          <w:b w:val="1"/>
          <w:bCs w:val="1"/>
        </w:rPr>
      </w:pPr>
    </w:p>
    <w:p>
      <w:pPr>
        <w:pStyle w:val="Body"/>
        <w:rPr>
          <w:b w:val="1"/>
          <w:bCs w:val="1"/>
        </w:rPr>
      </w:pPr>
      <w:r>
        <w:rPr>
          <w:b w:val="1"/>
          <w:bCs w:val="1"/>
          <w:rtl w:val="0"/>
          <w:lang w:val="en-US"/>
        </w:rPr>
        <w:t>Follow these instructions precisely:</w:t>
      </w:r>
    </w:p>
    <w:p>
      <w:pPr>
        <w:pStyle w:val="Body"/>
        <w:numPr>
          <w:ilvl w:val="1"/>
          <w:numId w:val="2"/>
        </w:numPr>
        <w:rPr>
          <w:b w:val="1"/>
          <w:bCs w:val="1"/>
          <w:lang w:val="en-US"/>
        </w:rPr>
      </w:pPr>
      <w:r>
        <w:rPr>
          <w:b w:val="0"/>
          <w:bCs w:val="0"/>
          <w:rtl w:val="0"/>
          <w:lang w:val="en-US"/>
        </w:rPr>
        <w:t>Do not bend over or lay flat for a minimum of 4 hours following treatment.</w:t>
      </w:r>
    </w:p>
    <w:p>
      <w:pPr>
        <w:pStyle w:val="Body"/>
        <w:numPr>
          <w:ilvl w:val="1"/>
          <w:numId w:val="2"/>
        </w:numPr>
        <w:rPr>
          <w:b w:val="1"/>
          <w:bCs w:val="1"/>
          <w:lang w:val="en-US"/>
        </w:rPr>
      </w:pPr>
      <w:r>
        <w:rPr>
          <w:b w:val="0"/>
          <w:bCs w:val="0"/>
          <w:rtl w:val="0"/>
          <w:lang w:val="en-US"/>
        </w:rPr>
        <w:t>Do not rub, massage or apply pressure to the treated region for a minimum of 4 hours after treatment. This includes applying make-up, facial cleansers or creams, wearing a hat, scarf, headband or any other garment or accessory that may put pressure on the treatment region.</w:t>
      </w:r>
    </w:p>
    <w:p>
      <w:pPr>
        <w:pStyle w:val="Body"/>
        <w:jc w:val="left"/>
        <w:rPr>
          <w:b w:val="0"/>
          <w:bCs w:val="0"/>
        </w:rPr>
      </w:pPr>
    </w:p>
    <w:p>
      <w:pPr>
        <w:pStyle w:val="Body"/>
        <w:ind w:left="180"/>
        <w:rPr>
          <w:b w:val="1"/>
          <w:bCs w:val="1"/>
        </w:rPr>
      </w:pPr>
      <w:r>
        <w:rPr>
          <w:b w:val="1"/>
          <w:bCs w:val="1"/>
          <w:rtl w:val="0"/>
          <w:lang w:val="en-US"/>
        </w:rPr>
        <w:t xml:space="preserve">The following are normal experiences that can occur following treatment:  </w:t>
      </w:r>
    </w:p>
    <w:p>
      <w:pPr>
        <w:pStyle w:val="Body"/>
        <w:numPr>
          <w:ilvl w:val="1"/>
          <w:numId w:val="2"/>
        </w:numPr>
        <w:jc w:val="left"/>
        <w:rPr>
          <w:b w:val="1"/>
          <w:bCs w:val="1"/>
          <w:lang w:val="en-US"/>
        </w:rPr>
      </w:pPr>
      <w:r>
        <w:rPr>
          <w:b w:val="0"/>
          <w:bCs w:val="0"/>
          <w:rtl w:val="0"/>
          <w:lang w:val="en-US"/>
        </w:rPr>
        <w:t>Tenderness or mild bruising at the injection site.</w:t>
      </w:r>
    </w:p>
    <w:p>
      <w:pPr>
        <w:pStyle w:val="Body"/>
        <w:numPr>
          <w:ilvl w:val="1"/>
          <w:numId w:val="2"/>
        </w:numPr>
        <w:jc w:val="left"/>
        <w:rPr>
          <w:b w:val="1"/>
          <w:bCs w:val="1"/>
          <w:lang w:val="en-US"/>
        </w:rPr>
      </w:pPr>
      <w:r>
        <w:rPr>
          <w:b w:val="0"/>
          <w:bCs w:val="0"/>
          <w:rtl w:val="0"/>
          <w:lang w:val="en-US"/>
        </w:rPr>
        <w:t>A mild headache.</w:t>
      </w:r>
    </w:p>
    <w:p>
      <w:pPr>
        <w:pStyle w:val="Body"/>
        <w:numPr>
          <w:ilvl w:val="1"/>
          <w:numId w:val="2"/>
        </w:numPr>
        <w:jc w:val="left"/>
        <w:rPr>
          <w:b w:val="1"/>
          <w:bCs w:val="1"/>
          <w:lang w:val="en-US"/>
        </w:rPr>
      </w:pPr>
      <w:r>
        <w:rPr>
          <w:b w:val="0"/>
          <w:bCs w:val="0"/>
          <w:rtl w:val="0"/>
          <w:lang w:val="en-US"/>
        </w:rPr>
        <w:t>Although very rare, there is the potential to experience mild flu-like symptoms.</w:t>
      </w:r>
    </w:p>
    <w:p>
      <w:pPr>
        <w:pStyle w:val="Body"/>
        <w:numPr>
          <w:ilvl w:val="1"/>
          <w:numId w:val="2"/>
        </w:numPr>
        <w:jc w:val="left"/>
        <w:rPr>
          <w:b w:val="1"/>
          <w:bCs w:val="1"/>
          <w:lang w:val="en-US"/>
        </w:rPr>
      </w:pPr>
      <w:r>
        <w:rPr>
          <w:b w:val="0"/>
          <w:bCs w:val="0"/>
          <w:rtl w:val="0"/>
          <w:lang w:val="en-US"/>
        </w:rPr>
        <w:t>Asymmetry is possible. The opposite sides of your face, and different facial regions may react at different times after treatment. This is normal. If asymmetry is not corrected within 7-10 days following your injection, please contact our office.</w:t>
      </w:r>
    </w:p>
    <w:p>
      <w:pPr>
        <w:pStyle w:val="Body"/>
        <w:jc w:val="left"/>
        <w:rPr>
          <w:b w:val="0"/>
          <w:bCs w:val="0"/>
        </w:rPr>
      </w:pPr>
    </w:p>
    <w:p>
      <w:pPr>
        <w:pStyle w:val="Body"/>
        <w:jc w:val="left"/>
        <w:rPr>
          <w:b w:val="0"/>
          <w:bCs w:val="0"/>
        </w:rPr>
      </w:pPr>
      <w:r>
        <w:rPr>
          <w:b w:val="0"/>
          <w:bCs w:val="0"/>
          <w:rtl w:val="0"/>
          <w:lang w:val="en-US"/>
        </w:rPr>
        <w:t>The denervating agent will begin to take effect within 3 to 7 days following your treatment. If your ability to contract treated regions is not restricted within 10 days following treatment, please contact our office.</w:t>
      </w:r>
    </w:p>
    <w:p>
      <w:pPr>
        <w:pStyle w:val="Body"/>
        <w:jc w:val="left"/>
        <w:rPr>
          <w:b w:val="0"/>
          <w:bCs w:val="0"/>
        </w:rPr>
      </w:pPr>
    </w:p>
    <w:p>
      <w:pPr>
        <w:pStyle w:val="Body"/>
        <w:jc w:val="left"/>
        <w:rPr>
          <w:b w:val="0"/>
          <w:bCs w:val="0"/>
        </w:rPr>
      </w:pPr>
      <w:r>
        <w:rPr>
          <w:b w:val="0"/>
          <w:bCs w:val="0"/>
          <w:rtl w:val="0"/>
          <w:lang w:val="en-US"/>
        </w:rPr>
        <w:t xml:space="preserve">Your first treatment will inhibit your ability to make certain expressions and will soften and relax the associated expression lines. However it may take several treatment cycles to diminish deeper expression lines. </w:t>
      </w:r>
    </w:p>
    <w:p>
      <w:pPr>
        <w:pStyle w:val="Body"/>
        <w:jc w:val="left"/>
        <w:rPr>
          <w:b w:val="0"/>
          <w:bCs w:val="0"/>
        </w:rPr>
      </w:pPr>
    </w:p>
    <w:p>
      <w:pPr>
        <w:pStyle w:val="Body"/>
        <w:jc w:val="left"/>
        <w:rPr>
          <w:b w:val="1"/>
          <w:bCs w:val="1"/>
        </w:rPr>
      </w:pPr>
      <w:r>
        <w:rPr>
          <w:b w:val="1"/>
          <w:bCs w:val="1"/>
          <w:rtl w:val="0"/>
          <w:lang w:val="en-US"/>
        </w:rPr>
        <w:t>IF THIS IS A SUBSEQUENT TREATMENT:</w:t>
      </w:r>
    </w:p>
    <w:p>
      <w:pPr>
        <w:pStyle w:val="Body"/>
        <w:jc w:val="left"/>
        <w:rPr>
          <w:b w:val="0"/>
          <w:bCs w:val="0"/>
        </w:rPr>
      </w:pPr>
      <w:r>
        <w:rPr>
          <w:b w:val="0"/>
          <w:bCs w:val="0"/>
          <w:rtl w:val="0"/>
          <w:lang w:val="en-US"/>
        </w:rPr>
        <w:t xml:space="preserve">The denervating agent may take effect more quickly than in the past. Your results may not be consistent with each treatment you have had in the past. This means that you may or may not experience similar post-treatment symptoms such as swelling or tenderness at the injection sites. This is not an unexpected or uncommon occurrence. </w:t>
      </w:r>
    </w:p>
    <w:p>
      <w:pPr>
        <w:pStyle w:val="Body"/>
        <w:jc w:val="left"/>
        <w:rPr>
          <w:b w:val="0"/>
          <w:bCs w:val="0"/>
        </w:rPr>
      </w:pPr>
    </w:p>
    <w:p>
      <w:pPr>
        <w:pStyle w:val="Body"/>
        <w:ind w:left="720"/>
        <w:jc w:val="left"/>
        <w:rPr>
          <w:b w:val="1"/>
          <w:bCs w:val="1"/>
        </w:rPr>
      </w:pPr>
    </w:p>
    <w:p>
      <w:pPr>
        <w:pStyle w:val="Body"/>
        <w:ind w:left="1440"/>
        <w:jc w:val="left"/>
      </w:p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_rels/theme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