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1905551</wp:posOffset>
            </wp:positionH>
            <wp:positionV relativeFrom="page">
              <wp:posOffset>89115</wp:posOffset>
            </wp:positionV>
            <wp:extent cx="2346884" cy="82528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Teotia-Logo-Black-AI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884" cy="8252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BILATERAL BREAST RECONSTRUCTION WITH TISSUE EXPANDER PLACEMENT, POSSIBLE ALLODERM, POSSIBLE ADJACENT TISSUE TRANSFER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Post Operative Instructions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  <w:lang w:val="en-US"/>
        </w:rPr>
        <w:t>You can expect swelling and bruising of your chest.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You may have a drain. </w:t>
      </w:r>
      <w:r>
        <w:rPr>
          <w:b w:val="1"/>
          <w:bCs w:val="1"/>
          <w:rtl w:val="0"/>
          <w:lang w:val="en-US"/>
        </w:rPr>
        <w:t>PLEASE SEE</w:t>
      </w:r>
      <w:r>
        <w:rPr>
          <w:b w:val="1"/>
          <w:bCs w:val="1"/>
          <w:rtl w:val="0"/>
        </w:rPr>
        <w:t xml:space="preserve"> </w:t>
      </w:r>
      <w:r>
        <w:rPr>
          <w:b w:val="1"/>
          <w:bCs w:val="1"/>
          <w:rtl w:val="0"/>
          <w:lang w:val="en-US"/>
        </w:rPr>
        <w:t xml:space="preserve">INSTRUCTIONS FOR J-P DRAINS. </w:t>
      </w:r>
      <w:r>
        <w:rPr>
          <w:rtl w:val="0"/>
          <w:lang w:val="en-US"/>
        </w:rPr>
        <w:t>Strip the drain and record the output in ml every 8 hours. Please record a 24 hour total as well. You may have drains removed when the output is 30 ml or less for a 24 hours (per drain) for 2 consecutive days (2 days in a row).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 will have some discomfort. Take the pain medication as needed. It is easier to keep up with the pain than catch up. A stool softener (Colace) is encouraged while taking narcotics to prevent constipation.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Keep your incisions clean. You may shower 48 hours after surgery. Change to a sport bra after you shower. Apply kotex pads to the inside of the sports bra for the first week after surgery to absorb any drainage.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To reduce the swelling, sleep as upright as possible. A recliner may be helpful for the first several days.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Ice packs may make you feel more comfortable. Do not use a heating pad or hot water bottle as your skin sensation will not be normal and a burn may occur.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No lifting greater than 5 lbs or vigorous activities for 2 weeks. Walking is encouraged. After two weeks, r</w:t>
      </w:r>
      <w:r>
        <w:rPr>
          <w:rtl w:val="0"/>
          <w:lang w:val="en-US"/>
        </w:rPr>
        <w:t>esume your normal activities as soon as you feel comfortable. If it hurts to do something, don</w:t>
      </w:r>
      <w:r>
        <w:rPr>
          <w:rtl w:val="0"/>
        </w:rPr>
        <w:t>’</w:t>
      </w:r>
      <w:r>
        <w:rPr>
          <w:rtl w:val="0"/>
          <w:lang w:val="en-US"/>
        </w:rPr>
        <w:t>t do it. If it does not hurt, it is all right to do it.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Do not take aspirin or ibuprofen containing products for two weeks.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 sports bra will be worn for six (6) weeks after your surgery for compression.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Do not smoke for six (6) weeks after surgery.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Do not take alcoholic beverages or drive a vehicle while taking pain medication. </w:t>
      </w: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CALL THE OFFICE AT 214-823-9652 IMMEDIATELY FOR THE FOLLOWING:</w:t>
      </w:r>
    </w:p>
    <w:p>
      <w:pPr>
        <w:pStyle w:val="Body"/>
        <w:rPr>
          <w:b w:val="1"/>
          <w:bCs w:val="1"/>
        </w:rPr>
      </w:pP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YOU HAVE A FEVER OVER 101.5 DEGREES.</w:t>
      </w: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YOU HAVE SUDDEN INCREASE IN SWELLING.</w:t>
      </w: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THERE IS REDNESS OR THICK DRAINAGE AROUND THE INCISIONS.</w:t>
      </w:r>
    </w:p>
    <w:p>
      <w:pPr>
        <w:pStyle w:val="Body"/>
        <w:numPr>
          <w:ilvl w:val="0"/>
          <w:numId w:val="3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YOUR TISSUE EXPANDER OR IMPLANT IS EXPOSED.</w:t>
      </w:r>
    </w:p>
    <w:p>
      <w:pPr>
        <w:pStyle w:val="Body"/>
        <w:numPr>
          <w:ilvl w:val="0"/>
          <w:numId w:val="2"/>
        </w:numPr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 xml:space="preserve">YOU EXPERIENCE SHORTNESS OF BREATH OR SWELLING IN ONE LEG-CALL </w:t>
      </w:r>
    </w:p>
    <w:p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    911 IF THIS IS A TRUE EMERGENCY.</w:t>
      </w:r>
    </w:p>
    <w:p>
      <w:pPr>
        <w:pStyle w:val="Body"/>
      </w:pPr>
      <w:r>
        <w:rPr>
          <w:b w:val="1"/>
          <w:bCs w:val="1"/>
        </w:rPr>
      </w:r>
    </w:p>
    <w:sectPr>
      <w:headerReference w:type="default" r:id="rId5"/>
      <w:footerReference w:type="default" r:id="rId6"/>
      <w:pgSz w:w="12240" w:h="15840" w:orient="portrait"/>
      <w:pgMar w:top="360" w:right="1080" w:bottom="36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 Big"/>
  </w:abstractNum>
  <w:abstractNum w:abstractNumId="1">
    <w:multiLevelType w:val="hybridMultilevel"/>
    <w:styleLink w:val="Bullet Big"/>
    <w:lvl w:ilvl="0">
      <w:start w:val="1"/>
      <w:numFmt w:val="bullet"/>
      <w:suff w:val="tab"/>
      <w:lvlText w:val="•"/>
      <w:lvlJc w:val="left"/>
      <w:pPr>
        <w:ind w:left="262" w:hanging="262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48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72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96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20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44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68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92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160" w:hanging="24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24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48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72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96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20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44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68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92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160" w:hanging="24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6"/>
          <w:szCs w:val="26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 Big">
    <w:name w:val="Bullet Big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?>
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